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0A4A0A">
        <w:rPr>
          <w:rFonts w:ascii="Calibri" w:hAnsi="Calibri" w:cs="Calibri"/>
          <w:b/>
          <w:sz w:val="28"/>
          <w:szCs w:val="28"/>
          <w:lang w:val="lv-LV"/>
        </w:rPr>
        <w:t>07</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0A4A0A">
        <w:rPr>
          <w:rFonts w:ascii="Calibri" w:hAnsi="Calibri" w:cs="Calibri"/>
          <w:b/>
          <w:sz w:val="28"/>
          <w:szCs w:val="28"/>
          <w:lang w:val="lv-LV"/>
        </w:rPr>
        <w:t>Kvadricikla</w:t>
      </w:r>
      <w:r w:rsidRPr="0080011D">
        <w:rPr>
          <w:rFonts w:ascii="Calibri" w:hAnsi="Calibri" w:cs="Calibri"/>
          <w:b/>
          <w:sz w:val="28"/>
          <w:szCs w:val="28"/>
          <w:lang w:val="lv-LV"/>
        </w:rPr>
        <w:t xml:space="preserve"> iegāde Nīcas novada domes vajadzībām”</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80011D" w:rsidRPr="0080011D">
          <w:rPr>
            <w:rStyle w:val="Hipersaite"/>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Aigars Veiss, komunālās pārvaldes vadītājs, tālr.:25622860; e-pasts: </w:t>
      </w:r>
      <w:hyperlink r:id="rId9" w:history="1">
        <w:r w:rsidRPr="0080011D">
          <w:rPr>
            <w:rStyle w:val="Hipersaite"/>
            <w:rFonts w:asciiTheme="minorHAnsi" w:hAnsiTheme="minorHAnsi" w:cstheme="minorHAnsi"/>
            <w:szCs w:val="24"/>
            <w:lang w:val="lv-LV"/>
          </w:rPr>
          <w:t>aigars.veiss@nica.lv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0A4A0A" w:rsidRPr="003F4544">
        <w:rPr>
          <w:rFonts w:asciiTheme="minorHAnsi" w:hAnsiTheme="minorHAnsi" w:cstheme="minorHAnsi"/>
          <w:bCs/>
          <w:sz w:val="24"/>
        </w:rPr>
        <w:t>2</w:t>
      </w:r>
      <w:r w:rsidR="00B07535" w:rsidRPr="003F4544">
        <w:rPr>
          <w:rFonts w:asciiTheme="minorHAnsi" w:hAnsiTheme="minorHAnsi" w:cstheme="minorHAnsi"/>
          <w:bCs/>
          <w:sz w:val="24"/>
        </w:rPr>
        <w:t>0</w:t>
      </w:r>
      <w:r w:rsidR="00A42763" w:rsidRPr="003F4544">
        <w:rPr>
          <w:rFonts w:asciiTheme="minorHAnsi" w:hAnsiTheme="minorHAnsi" w:cstheme="minorHAnsi"/>
          <w:bCs/>
          <w:sz w:val="24"/>
        </w:rPr>
        <w:t>.</w:t>
      </w:r>
      <w:r w:rsidR="000A4A0A" w:rsidRPr="003F4544">
        <w:rPr>
          <w:rFonts w:asciiTheme="minorHAnsi" w:hAnsiTheme="minorHAnsi" w:cstheme="minorHAnsi"/>
          <w:bCs/>
          <w:sz w:val="24"/>
        </w:rPr>
        <w:t>februā</w:t>
      </w:r>
      <w:r w:rsidR="009002C5" w:rsidRPr="003F4544">
        <w:rPr>
          <w:rFonts w:asciiTheme="minorHAnsi" w:hAnsiTheme="minorHAnsi" w:cstheme="minorHAnsi"/>
          <w:bCs/>
          <w:sz w:val="24"/>
        </w:rPr>
        <w:t>rī</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0"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80011D" w:rsidRPr="00BC7B43">
        <w:rPr>
          <w:rFonts w:ascii="Calibri" w:hAnsi="Calibri" w:cs="Calibri"/>
        </w:rPr>
        <w:t xml:space="preserve">  </w:t>
      </w:r>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 xml:space="preserve">līdz 2019. </w:t>
      </w:r>
      <w:r w:rsidR="00D67930" w:rsidRPr="003F4544">
        <w:rPr>
          <w:rFonts w:asciiTheme="minorHAnsi" w:hAnsiTheme="minorHAnsi" w:cstheme="minorHAnsi"/>
          <w:b/>
          <w:bCs/>
          <w:color w:val="000000"/>
          <w:sz w:val="24"/>
          <w:u w:val="single"/>
        </w:rPr>
        <w:t xml:space="preserve">gada </w:t>
      </w:r>
      <w:r w:rsidR="00B07535" w:rsidRPr="003F4544">
        <w:rPr>
          <w:rFonts w:asciiTheme="minorHAnsi" w:hAnsiTheme="minorHAnsi" w:cstheme="minorHAnsi"/>
          <w:b/>
          <w:bCs/>
          <w:color w:val="000000"/>
          <w:sz w:val="24"/>
          <w:u w:val="single"/>
        </w:rPr>
        <w:t>2</w:t>
      </w:r>
      <w:r w:rsidR="00A42763" w:rsidRPr="003F4544">
        <w:rPr>
          <w:rFonts w:asciiTheme="minorHAnsi" w:hAnsiTheme="minorHAnsi" w:cstheme="minorHAnsi"/>
          <w:b/>
          <w:bCs/>
          <w:color w:val="000000"/>
          <w:sz w:val="24"/>
          <w:u w:val="single"/>
        </w:rPr>
        <w:t>.</w:t>
      </w:r>
      <w:r w:rsidR="000A4A0A" w:rsidRPr="003F4544">
        <w:rPr>
          <w:rFonts w:asciiTheme="minorHAnsi" w:hAnsiTheme="minorHAnsi" w:cstheme="minorHAnsi"/>
          <w:b/>
          <w:bCs/>
          <w:color w:val="000000"/>
          <w:sz w:val="24"/>
          <w:u w:val="single"/>
        </w:rPr>
        <w:t>marta</w:t>
      </w:r>
      <w:r w:rsidR="009002C5" w:rsidRPr="003F4544">
        <w:rPr>
          <w:rFonts w:asciiTheme="minorHAnsi" w:hAnsiTheme="minorHAnsi" w:cstheme="minorHAnsi"/>
          <w:b/>
          <w:bCs/>
          <w:color w:val="000000"/>
          <w:sz w:val="24"/>
          <w:u w:val="single"/>
        </w:rPr>
        <w:t>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696"/>
      </w:tblGrid>
      <w:tr w:rsidR="00EB726B" w:rsidRPr="009002C5"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0A4A0A">
              <w:rPr>
                <w:rFonts w:asciiTheme="minorHAnsi" w:eastAsia="Arial" w:hAnsiTheme="minorHAnsi" w:cstheme="minorHAnsi"/>
                <w:b/>
                <w:caps/>
                <w:kern w:val="2"/>
                <w:sz w:val="24"/>
                <w:szCs w:val="24"/>
                <w:lang w:val="lv-LV"/>
              </w:rPr>
              <w:t>07</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0A4A0A">
              <w:rPr>
                <w:rFonts w:asciiTheme="minorHAnsi" w:hAnsiTheme="minorHAnsi" w:cstheme="minorHAnsi"/>
                <w:b/>
                <w:bCs/>
                <w:i/>
                <w:sz w:val="24"/>
                <w:szCs w:val="24"/>
                <w:lang w:val="lv-LV"/>
              </w:rPr>
              <w:t>Kvadricikla</w:t>
            </w:r>
            <w:r w:rsidR="00D64EA3">
              <w:rPr>
                <w:rFonts w:asciiTheme="minorHAnsi" w:hAnsiTheme="minorHAnsi" w:cstheme="minorHAnsi"/>
                <w:b/>
                <w:bCs/>
                <w:i/>
                <w:sz w:val="24"/>
                <w:szCs w:val="24"/>
                <w:lang w:val="lv-LV"/>
              </w:rPr>
              <w:t xml:space="preserve"> iegāde Nīcas novada domes vajadzībām</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 xml:space="preserve">Pretendenta kontaktinformācija (nosaukums,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B07535">
              <w:rPr>
                <w:rFonts w:asciiTheme="minorHAnsi" w:hAnsiTheme="minorHAnsi" w:cstheme="minorHAnsi"/>
                <w:b/>
                <w:color w:val="000000"/>
                <w:sz w:val="24"/>
              </w:rPr>
              <w:t>2</w:t>
            </w:r>
            <w:r w:rsidR="009002C5" w:rsidRPr="00BC7B43">
              <w:rPr>
                <w:rFonts w:asciiTheme="minorHAnsi" w:hAnsiTheme="minorHAnsi" w:cstheme="minorHAnsi"/>
                <w:b/>
                <w:color w:val="000000"/>
                <w:sz w:val="24"/>
              </w:rPr>
              <w:t>.</w:t>
            </w:r>
            <w:r w:rsidR="000A4A0A">
              <w:rPr>
                <w:rFonts w:asciiTheme="minorHAnsi" w:hAnsiTheme="minorHAnsi" w:cstheme="minorHAnsi"/>
                <w:b/>
                <w:color w:val="000000"/>
                <w:sz w:val="24"/>
              </w:rPr>
              <w:t>marta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(pievienojot pilnvaru) personas parakstītiem, iesniedzamajām kopijām jābūt apliecinātām. Piedāvājuma dokumentiem jābūt </w:t>
      </w:r>
      <w:proofErr w:type="spellStart"/>
      <w:r w:rsidRPr="00D51D4A">
        <w:rPr>
          <w:rFonts w:asciiTheme="minorHAnsi" w:hAnsiTheme="minorHAnsi" w:cstheme="minorHAnsi"/>
          <w:bCs/>
          <w:sz w:val="24"/>
        </w:rPr>
        <w:t>cauršūtiem</w:t>
      </w:r>
      <w:proofErr w:type="spellEnd"/>
      <w:r w:rsidRPr="00D51D4A">
        <w:rPr>
          <w:rFonts w:asciiTheme="minorHAnsi" w:hAnsiTheme="minorHAnsi" w:cstheme="minorHAnsi"/>
          <w:bCs/>
          <w:sz w:val="24"/>
        </w:rPr>
        <w:t xml:space="preserve">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0A4A0A" w:rsidRPr="003F4544">
        <w:rPr>
          <w:rFonts w:asciiTheme="minorHAnsi" w:hAnsiTheme="minorHAnsi" w:cstheme="minorHAnsi"/>
          <w:bCs/>
          <w:sz w:val="24"/>
          <w:u w:val="single"/>
        </w:rPr>
        <w:t>2</w:t>
      </w:r>
      <w:r w:rsidR="00B07535" w:rsidRPr="003F4544">
        <w:rPr>
          <w:rFonts w:asciiTheme="minorHAnsi" w:hAnsiTheme="minorHAnsi" w:cstheme="minorHAnsi"/>
          <w:bCs/>
          <w:sz w:val="24"/>
          <w:u w:val="single"/>
        </w:rPr>
        <w:t>7</w:t>
      </w:r>
      <w:r w:rsidR="00A42763" w:rsidRPr="003F4544">
        <w:rPr>
          <w:rFonts w:asciiTheme="minorHAnsi" w:hAnsiTheme="minorHAnsi" w:cstheme="minorHAnsi"/>
          <w:bCs/>
          <w:sz w:val="24"/>
          <w:u w:val="single"/>
        </w:rPr>
        <w:t>.</w:t>
      </w:r>
      <w:r w:rsidR="000A4A0A" w:rsidRPr="003F4544">
        <w:rPr>
          <w:rFonts w:asciiTheme="minorHAnsi" w:hAnsiTheme="minorHAnsi" w:cstheme="minorHAnsi"/>
          <w:bCs/>
          <w:sz w:val="24"/>
          <w:u w:val="single"/>
        </w:rPr>
        <w:t>februā</w:t>
      </w:r>
      <w:r w:rsidR="00D64EA3" w:rsidRPr="003F4544">
        <w:rPr>
          <w:rFonts w:asciiTheme="minorHAnsi" w:hAnsiTheme="minorHAnsi" w:cstheme="minorHAnsi"/>
          <w:bCs/>
          <w:sz w:val="24"/>
          <w:u w:val="single"/>
        </w:rPr>
        <w:t xml:space="preserve">rim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0A4A0A"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Kvadricikla</w:t>
      </w:r>
      <w:r w:rsidR="00D1329D" w:rsidRPr="00D1329D">
        <w:rPr>
          <w:rStyle w:val="Bodytext5ArialUnicodeMS"/>
          <w:rFonts w:asciiTheme="minorHAnsi" w:hAnsiTheme="minorHAnsi" w:cs="Calibri" w:hint="default"/>
          <w:iCs/>
          <w:sz w:val="24"/>
          <w:szCs w:val="24"/>
          <w:lang w:val="lv-LV"/>
        </w:rPr>
        <w:t xml:space="preserve"> iegāde Nīcas novada domes vajadzībām saskaņā ar nolikuma un tā pielikumu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0A4A0A" w:rsidRPr="003F4544">
        <w:rPr>
          <w:rFonts w:ascii="Calibri" w:hAnsi="Calibri" w:cs="Calibri"/>
          <w:b w:val="0"/>
          <w:sz w:val="24"/>
          <w:szCs w:val="24"/>
        </w:rPr>
        <w:t>3 (trīs)</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Kvadricikls jāpiegādā </w:t>
      </w:r>
      <w:r w:rsidR="00B07535">
        <w:rPr>
          <w:rFonts w:ascii="Calibri" w:hAnsi="Calibri" w:cs="Calibri"/>
          <w:b w:val="0"/>
          <w:sz w:val="24"/>
          <w:szCs w:val="24"/>
        </w:rPr>
        <w:t>Nīcas novada domē, Bārtas ielā 6, Nīcā, Nīcas pagastā, Nīcas novadā.</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0A4A0A"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Kvadricikla tehniskās prasības:</w:t>
      </w: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Reatabula"/>
        <w:tblW w:w="0" w:type="auto"/>
        <w:tblInd w:w="279" w:type="dxa"/>
        <w:tblLook w:val="04A0" w:firstRow="1" w:lastRow="0" w:firstColumn="1" w:lastColumn="0" w:noHBand="0" w:noVBand="1"/>
      </w:tblPr>
      <w:tblGrid>
        <w:gridCol w:w="4465"/>
        <w:gridCol w:w="4744"/>
      </w:tblGrid>
      <w:tr w:rsidR="000A4A0A" w:rsidTr="000A4A0A">
        <w:tc>
          <w:tcPr>
            <w:tcW w:w="4465" w:type="dxa"/>
          </w:tcPr>
          <w:p w:rsidR="000A4A0A" w:rsidRDefault="000A4A0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Dzinējs</w:t>
            </w:r>
          </w:p>
        </w:tc>
        <w:tc>
          <w:tcPr>
            <w:tcW w:w="4744"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4 takt, šķidruma </w:t>
            </w:r>
            <w:proofErr w:type="spellStart"/>
            <w:r>
              <w:rPr>
                <w:rFonts w:asciiTheme="minorHAnsi" w:hAnsiTheme="minorHAnsi" w:cstheme="minorHAnsi"/>
                <w:sz w:val="24"/>
              </w:rPr>
              <w:t>dzese</w:t>
            </w:r>
            <w:proofErr w:type="spellEnd"/>
          </w:p>
        </w:tc>
      </w:tr>
      <w:tr w:rsidR="000A4A0A" w:rsidTr="000A4A0A">
        <w:tc>
          <w:tcPr>
            <w:tcW w:w="4465" w:type="dxa"/>
          </w:tcPr>
          <w:p w:rsidR="000A4A0A" w:rsidRDefault="000A4A0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Dzinēja tilpums</w:t>
            </w:r>
          </w:p>
        </w:tc>
        <w:tc>
          <w:tcPr>
            <w:tcW w:w="4744"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no 650-900 kubikcentimetru</w:t>
            </w:r>
          </w:p>
        </w:tc>
      </w:tr>
      <w:tr w:rsidR="000A4A0A" w:rsidTr="000A4A0A">
        <w:tc>
          <w:tcPr>
            <w:tcW w:w="4465" w:type="dxa"/>
          </w:tcPr>
          <w:p w:rsidR="000A4A0A" w:rsidRDefault="000A4A0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Barošanas sistēma</w:t>
            </w:r>
          </w:p>
        </w:tc>
        <w:tc>
          <w:tcPr>
            <w:tcW w:w="4744"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Elektroniskā iesmidzināšana</w:t>
            </w:r>
          </w:p>
        </w:tc>
      </w:tr>
      <w:tr w:rsidR="000A4A0A" w:rsidTr="000A4A0A">
        <w:tc>
          <w:tcPr>
            <w:tcW w:w="4465" w:type="dxa"/>
          </w:tcPr>
          <w:p w:rsidR="000A4A0A" w:rsidRDefault="000A4A0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Aizdedze</w:t>
            </w:r>
          </w:p>
        </w:tc>
        <w:tc>
          <w:tcPr>
            <w:tcW w:w="4744"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elektroniskā</w:t>
            </w:r>
          </w:p>
        </w:tc>
      </w:tr>
      <w:tr w:rsidR="000A4A0A" w:rsidRPr="003F4544" w:rsidTr="000A4A0A">
        <w:tc>
          <w:tcPr>
            <w:tcW w:w="4465" w:type="dxa"/>
          </w:tcPr>
          <w:p w:rsidR="000A4A0A" w:rsidRDefault="000A4A0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Transmisija</w:t>
            </w:r>
          </w:p>
        </w:tc>
        <w:tc>
          <w:tcPr>
            <w:tcW w:w="4744"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Automātisks </w:t>
            </w:r>
            <w:proofErr w:type="spellStart"/>
            <w:r>
              <w:rPr>
                <w:rFonts w:asciiTheme="minorHAnsi" w:hAnsiTheme="minorHAnsi" w:cstheme="minorHAnsi"/>
                <w:sz w:val="24"/>
              </w:rPr>
              <w:t>variators</w:t>
            </w:r>
            <w:proofErr w:type="spellEnd"/>
            <w:r>
              <w:rPr>
                <w:rFonts w:asciiTheme="minorHAnsi" w:hAnsiTheme="minorHAnsi" w:cstheme="minorHAnsi"/>
                <w:sz w:val="24"/>
              </w:rPr>
              <w:t>, 4WD ar iespēju ieslēgt pazeminošo pārnesumu un atpakaļgaitu</w:t>
            </w:r>
          </w:p>
        </w:tc>
      </w:tr>
      <w:tr w:rsidR="000A4A0A" w:rsidRPr="003F4544" w:rsidTr="000A4A0A">
        <w:tc>
          <w:tcPr>
            <w:tcW w:w="4465"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Transmisijas piedziņa</w:t>
            </w:r>
          </w:p>
        </w:tc>
        <w:tc>
          <w:tcPr>
            <w:tcW w:w="4744"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Kardānu piedziņa uz priekšējo un aizmugurējo transmisiju</w:t>
            </w:r>
          </w:p>
        </w:tc>
      </w:tr>
      <w:tr w:rsidR="000A4A0A" w:rsidRPr="003F4544" w:rsidTr="000A4A0A">
        <w:tc>
          <w:tcPr>
            <w:tcW w:w="4465"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Stūre</w:t>
            </w:r>
          </w:p>
        </w:tc>
        <w:tc>
          <w:tcPr>
            <w:tcW w:w="4744"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Aprīkota ar EPS (elektrisko stūres pastiprinātāju), apsildāmi stūres rokturi</w:t>
            </w:r>
          </w:p>
        </w:tc>
      </w:tr>
      <w:tr w:rsidR="000A4A0A" w:rsidTr="000A4A0A">
        <w:tc>
          <w:tcPr>
            <w:tcW w:w="4465"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proofErr w:type="spellStart"/>
            <w:r>
              <w:rPr>
                <w:rFonts w:asciiTheme="minorHAnsi" w:hAnsiTheme="minorHAnsi" w:cstheme="minorHAnsi"/>
                <w:sz w:val="24"/>
              </w:rPr>
              <w:t>Klīrenss</w:t>
            </w:r>
            <w:proofErr w:type="spellEnd"/>
          </w:p>
        </w:tc>
        <w:tc>
          <w:tcPr>
            <w:tcW w:w="4744" w:type="dxa"/>
          </w:tcPr>
          <w:p w:rsidR="000A4A0A" w:rsidRDefault="008C4ABB"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250mm</w:t>
            </w:r>
          </w:p>
        </w:tc>
      </w:tr>
      <w:tr w:rsidR="008C4ABB" w:rsidTr="000A4A0A">
        <w:tc>
          <w:tcPr>
            <w:tcW w:w="4465"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Priekšējā </w:t>
            </w:r>
            <w:proofErr w:type="spellStart"/>
            <w:r>
              <w:rPr>
                <w:rFonts w:asciiTheme="minorHAnsi" w:hAnsiTheme="minorHAnsi" w:cstheme="minorHAnsi"/>
                <w:sz w:val="24"/>
              </w:rPr>
              <w:t>piekare</w:t>
            </w:r>
            <w:proofErr w:type="spellEnd"/>
          </w:p>
        </w:tc>
        <w:tc>
          <w:tcPr>
            <w:tcW w:w="4744"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Neatkarīgā 2 eļļas amortizatori (regulējama atspere)</w:t>
            </w:r>
          </w:p>
        </w:tc>
      </w:tr>
      <w:tr w:rsidR="008C4ABB" w:rsidTr="000A4A0A">
        <w:tc>
          <w:tcPr>
            <w:tcW w:w="4465"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Aizmugurējā </w:t>
            </w:r>
            <w:proofErr w:type="spellStart"/>
            <w:r>
              <w:rPr>
                <w:rFonts w:asciiTheme="minorHAnsi" w:hAnsiTheme="minorHAnsi" w:cstheme="minorHAnsi"/>
                <w:sz w:val="24"/>
              </w:rPr>
              <w:t>piekare</w:t>
            </w:r>
            <w:proofErr w:type="spellEnd"/>
          </w:p>
        </w:tc>
        <w:tc>
          <w:tcPr>
            <w:tcW w:w="4744"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Neatkarīgā 2 eļļas amortizatori (regulējama atspere)</w:t>
            </w:r>
          </w:p>
        </w:tc>
      </w:tr>
      <w:tr w:rsidR="008C4ABB" w:rsidTr="000A4A0A">
        <w:tc>
          <w:tcPr>
            <w:tcW w:w="4465"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Priekšējās bremzes</w:t>
            </w:r>
          </w:p>
        </w:tc>
        <w:tc>
          <w:tcPr>
            <w:tcW w:w="4744"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Hidrauliskās disku</w:t>
            </w:r>
          </w:p>
        </w:tc>
      </w:tr>
      <w:tr w:rsidR="008C4ABB" w:rsidTr="000A4A0A">
        <w:tc>
          <w:tcPr>
            <w:tcW w:w="4465"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Aizmugurējās bremzes</w:t>
            </w:r>
          </w:p>
        </w:tc>
        <w:tc>
          <w:tcPr>
            <w:tcW w:w="4744"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Hidrauliskās disku vai trumuļu</w:t>
            </w:r>
          </w:p>
        </w:tc>
      </w:tr>
      <w:tr w:rsidR="008C4ABB" w:rsidTr="000A4A0A">
        <w:tc>
          <w:tcPr>
            <w:tcW w:w="4465"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Priekšējās riepas</w:t>
            </w:r>
          </w:p>
        </w:tc>
        <w:tc>
          <w:tcPr>
            <w:tcW w:w="4744"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25 x 8 - 12</w:t>
            </w:r>
          </w:p>
        </w:tc>
      </w:tr>
      <w:tr w:rsidR="008C4ABB" w:rsidTr="000A4A0A">
        <w:tc>
          <w:tcPr>
            <w:tcW w:w="4465"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Aizmugurējās riepas</w:t>
            </w:r>
          </w:p>
        </w:tc>
        <w:tc>
          <w:tcPr>
            <w:tcW w:w="4744"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25 x 10 - 12</w:t>
            </w:r>
          </w:p>
        </w:tc>
      </w:tr>
      <w:tr w:rsidR="008C4ABB" w:rsidTr="000A4A0A">
        <w:tc>
          <w:tcPr>
            <w:tcW w:w="4465"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Degvielas tilpums</w:t>
            </w:r>
          </w:p>
        </w:tc>
        <w:tc>
          <w:tcPr>
            <w:tcW w:w="4744"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20l</w:t>
            </w:r>
          </w:p>
        </w:tc>
      </w:tr>
      <w:tr w:rsidR="008C4ABB" w:rsidRPr="003F4544" w:rsidTr="000A4A0A">
        <w:tc>
          <w:tcPr>
            <w:tcW w:w="4465"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Ekstras, papildaprīkojums, papildprasības</w:t>
            </w:r>
          </w:p>
        </w:tc>
        <w:tc>
          <w:tcPr>
            <w:tcW w:w="4744" w:type="dxa"/>
          </w:tcPr>
          <w:p w:rsidR="008C4ABB" w:rsidRDefault="008C4ABB" w:rsidP="008C4ABB">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Aizmugurējais bremžu paliktnis piekabes āķis ar rozeti (vieglās automašīnas piekabei), elektriskā vinča ar jaudu ne mazāk kā 1200kg. Jāpiereģistrē CSDD</w:t>
            </w:r>
            <w:r w:rsidR="003F4544">
              <w:rPr>
                <w:rFonts w:asciiTheme="minorHAnsi" w:hAnsiTheme="minorHAnsi" w:cstheme="minorHAnsi"/>
                <w:sz w:val="24"/>
              </w:rPr>
              <w:t xml:space="preserve"> uz Nīcas novada domes vārda,</w:t>
            </w:r>
            <w:r>
              <w:rPr>
                <w:rFonts w:asciiTheme="minorHAnsi" w:hAnsiTheme="minorHAnsi" w:cstheme="minorHAnsi"/>
                <w:sz w:val="24"/>
              </w:rPr>
              <w:t xml:space="preserve"> OCTA. Braucams pa koplietošanas </w:t>
            </w:r>
            <w:r>
              <w:rPr>
                <w:rFonts w:asciiTheme="minorHAnsi" w:hAnsiTheme="minorHAnsi" w:cstheme="minorHAnsi"/>
                <w:sz w:val="24"/>
              </w:rPr>
              <w:lastRenderedPageBreak/>
              <w:t>autoceļiem ar B kategorijas autovadītāja apliecību.</w:t>
            </w:r>
          </w:p>
        </w:tc>
      </w:tr>
    </w:tbl>
    <w:p w:rsidR="000A4A0A" w:rsidRPr="00D51D4A" w:rsidRDefault="000A4A0A"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BC7B43">
        <w:rPr>
          <w:rFonts w:asciiTheme="minorHAnsi" w:hAnsiTheme="minorHAnsi" w:cstheme="minorHAnsi"/>
          <w:bCs/>
          <w:sz w:val="24"/>
          <w:u w:val="single"/>
        </w:rPr>
        <w:t>60</w:t>
      </w:r>
      <w:r w:rsidR="009B4DAC" w:rsidRPr="00D51D4A">
        <w:rPr>
          <w:rFonts w:asciiTheme="minorHAnsi" w:hAnsiTheme="minorHAnsi" w:cstheme="minorHAnsi"/>
          <w:bCs/>
          <w:sz w:val="24"/>
          <w:u w:val="single"/>
        </w:rPr>
        <w:t xml:space="preserve"> (</w:t>
      </w:r>
      <w:r w:rsidR="00BC7B43">
        <w:rPr>
          <w:rFonts w:asciiTheme="minorHAnsi" w:hAnsiTheme="minorHAnsi" w:cstheme="minorHAnsi"/>
          <w:bCs/>
          <w:sz w:val="24"/>
          <w:u w:val="single"/>
        </w:rPr>
        <w:t>seš</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tbl>
      <w:tblPr>
        <w:tblStyle w:val="Reatabula"/>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1" w:history="1">
              <w:r w:rsidRPr="00DB30A5">
                <w:rPr>
                  <w:rStyle w:val="Hipersaite"/>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9B4DAC">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CF2146">
              <w:rPr>
                <w:rFonts w:asciiTheme="minorHAnsi" w:hAnsiTheme="minorHAnsi" w:cstheme="minorHAnsi"/>
                <w:sz w:val="24"/>
              </w:rPr>
              <w:t>1</w:t>
            </w:r>
            <w:r>
              <w:rPr>
                <w:rFonts w:asciiTheme="minorHAnsi" w:hAnsiTheme="minorHAnsi" w:cstheme="minorHAnsi"/>
                <w:sz w:val="24"/>
              </w:rPr>
              <w:t xml:space="preserve"> (</w:t>
            </w:r>
            <w:r w:rsidR="00CF2146">
              <w:rPr>
                <w:rFonts w:asciiTheme="minorHAnsi" w:hAnsiTheme="minorHAnsi" w:cstheme="minorHAnsi"/>
                <w:sz w:val="24"/>
              </w:rPr>
              <w:t>viens</w:t>
            </w:r>
            <w:r>
              <w:rPr>
                <w:rFonts w:asciiTheme="minorHAnsi" w:hAnsiTheme="minorHAnsi" w:cstheme="minorHAnsi"/>
                <w:sz w:val="24"/>
              </w:rPr>
              <w:t>) noslēgt</w:t>
            </w:r>
            <w:r w:rsidR="00CF2146">
              <w:rPr>
                <w:rFonts w:asciiTheme="minorHAnsi" w:hAnsiTheme="minorHAnsi" w:cstheme="minorHAnsi"/>
                <w:sz w:val="24"/>
              </w:rPr>
              <w:t>s</w:t>
            </w:r>
            <w:r>
              <w:rPr>
                <w:rFonts w:asciiTheme="minorHAnsi" w:hAnsiTheme="minorHAnsi" w:cstheme="minorHAnsi"/>
                <w:sz w:val="24"/>
              </w:rPr>
              <w:t xml:space="preserve"> līgum</w:t>
            </w:r>
            <w:r w:rsidR="00CF2146">
              <w:rPr>
                <w:rFonts w:asciiTheme="minorHAnsi" w:hAnsiTheme="minorHAnsi" w:cstheme="minorHAnsi"/>
                <w:sz w:val="24"/>
              </w:rPr>
              <w:t>s</w:t>
            </w:r>
            <w:r>
              <w:rPr>
                <w:rFonts w:asciiTheme="minorHAnsi" w:hAnsiTheme="minorHAnsi" w:cstheme="minorHAnsi"/>
                <w:sz w:val="24"/>
              </w:rPr>
              <w:t xml:space="preserve"> ar juridiskām personām</w:t>
            </w:r>
            <w:r w:rsidR="00CF2146">
              <w:rPr>
                <w:rFonts w:asciiTheme="minorHAnsi" w:hAnsiTheme="minorHAnsi" w:cstheme="minorHAnsi"/>
                <w:sz w:val="24"/>
              </w:rPr>
              <w:t xml:space="preserve"> par kvadricikla tirdzniecību.</w:t>
            </w:r>
          </w:p>
        </w:tc>
        <w:tc>
          <w:tcPr>
            <w:tcW w:w="4536" w:type="dxa"/>
          </w:tcPr>
          <w:p w:rsidR="00EA5F83" w:rsidRPr="002A159D" w:rsidRDefault="00EA5F83" w:rsidP="00EA5F83">
            <w:pPr>
              <w:pStyle w:val="Bezatstarpm"/>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lastRenderedPageBreak/>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 xml:space="preserve">EUR 150.00 (viens simts piecdesmit </w:t>
      </w:r>
      <w:proofErr w:type="spellStart"/>
      <w:r w:rsidR="002F1D1D" w:rsidRPr="00D51D4A">
        <w:rPr>
          <w:rFonts w:asciiTheme="minorHAnsi" w:hAnsiTheme="minorHAnsi" w:cstheme="minorHAnsi"/>
          <w:sz w:val="24"/>
        </w:rPr>
        <w:t>euro</w:t>
      </w:r>
      <w:proofErr w:type="spellEnd"/>
      <w:r w:rsidR="002F1D1D" w:rsidRPr="00D51D4A">
        <w:rPr>
          <w:rFonts w:asciiTheme="minorHAnsi" w:hAnsiTheme="minorHAnsi" w:cstheme="minorHAnsi"/>
          <w:sz w:val="24"/>
        </w:rPr>
        <w:t xml:space="preserve">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2"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CF2146">
        <w:rPr>
          <w:rFonts w:asciiTheme="minorHAnsi" w:hAnsiTheme="minorHAnsi" w:cstheme="minorHAnsi"/>
          <w:bCs/>
          <w:sz w:val="24"/>
          <w:szCs w:val="24"/>
        </w:rPr>
        <w:t>07</w:t>
      </w:r>
    </w:p>
    <w:p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1.pielikums</w:t>
      </w:r>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2" w:name="_Hlk513728019"/>
      <w:r w:rsidRPr="00C77655">
        <w:rPr>
          <w:rFonts w:asciiTheme="minorHAnsi" w:hAnsiTheme="minorHAnsi" w:cstheme="minorHAnsi"/>
          <w:b/>
          <w:sz w:val="24"/>
          <w:szCs w:val="24"/>
          <w:lang w:val="lv-LV"/>
        </w:rPr>
        <w:t>“</w:t>
      </w:r>
      <w:bookmarkEnd w:id="2"/>
      <w:r w:rsidR="00CF2146">
        <w:rPr>
          <w:rFonts w:asciiTheme="minorHAnsi" w:hAnsiTheme="minorHAnsi" w:cstheme="minorHAnsi"/>
          <w:b/>
          <w:sz w:val="24"/>
          <w:szCs w:val="24"/>
          <w:lang w:val="lv-LV"/>
        </w:rPr>
        <w:t>Kvadricikla</w:t>
      </w:r>
      <w:r>
        <w:rPr>
          <w:rFonts w:asciiTheme="minorHAnsi" w:hAnsiTheme="minorHAnsi" w:cstheme="minorHAnsi"/>
          <w:b/>
          <w:sz w:val="24"/>
          <w:szCs w:val="24"/>
          <w:lang w:val="lv-LV"/>
        </w:rPr>
        <w:t xml:space="preserve"> iegāde Nīcas novada domes vajadzībām</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CF2146">
        <w:rPr>
          <w:rFonts w:asciiTheme="minorHAnsi" w:hAnsiTheme="minorHAnsi" w:cstheme="minorHAnsi"/>
          <w:b/>
          <w:bCs/>
          <w:sz w:val="24"/>
          <w:szCs w:val="24"/>
          <w:lang w:val="lv-LV"/>
        </w:rPr>
        <w:t>07</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Pr>
          <w:rFonts w:asciiTheme="minorHAnsi" w:hAnsiTheme="minorHAnsi" w:cstheme="minorHAnsi"/>
        </w:rPr>
        <w:t>4</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ar šo mēs apstiprinām, ka mūsu Piedāvājums ir spēkā 90 (deviņdesmit)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CF2146">
        <w:rPr>
          <w:rFonts w:asciiTheme="minorHAnsi" w:hAnsiTheme="minorHAnsi" w:cstheme="minorHAnsi"/>
        </w:rPr>
        <w:t>07</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CF2146">
        <w:rPr>
          <w:rFonts w:asciiTheme="minorHAnsi" w:hAnsiTheme="minorHAnsi" w:cstheme="minorHAnsi"/>
          <w:b/>
          <w:sz w:val="24"/>
          <w:szCs w:val="24"/>
          <w:lang w:val="lv-LV"/>
        </w:rPr>
        <w:t>Kvadricikla</w:t>
      </w:r>
      <w:r>
        <w:rPr>
          <w:rFonts w:asciiTheme="minorHAnsi" w:hAnsiTheme="minorHAnsi" w:cstheme="minorHAnsi"/>
          <w:b/>
          <w:sz w:val="24"/>
          <w:szCs w:val="24"/>
          <w:lang w:val="lv-LV"/>
        </w:rPr>
        <w:t xml:space="preserve"> iegāde Nīcas novada domes vajadzībām</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CF2146">
        <w:rPr>
          <w:rFonts w:asciiTheme="minorHAnsi" w:hAnsiTheme="minorHAnsi" w:cstheme="minorHAnsi"/>
          <w:sz w:val="24"/>
          <w:szCs w:val="24"/>
          <w:lang w:val="lv-LV"/>
        </w:rPr>
        <w:t>07</w:t>
      </w:r>
      <w:r w:rsidRPr="00C81760">
        <w:rPr>
          <w:rFonts w:asciiTheme="minorHAnsi" w:hAnsiTheme="minorHAnsi" w:cstheme="minorHAnsi"/>
          <w:sz w:val="24"/>
          <w:szCs w:val="24"/>
          <w:lang w:val="lv-LV"/>
        </w:rPr>
        <w:t xml:space="preserve">) nolikumu un tā pielikumiem, mēs, parakstījuši šo dokumentu, piedāvājam  </w:t>
      </w:r>
      <w:r>
        <w:rPr>
          <w:rFonts w:asciiTheme="minorHAnsi" w:hAnsiTheme="minorHAnsi" w:cstheme="minorHAnsi"/>
          <w:sz w:val="24"/>
          <w:szCs w:val="24"/>
          <w:lang w:val="lv-LV"/>
        </w:rPr>
        <w:t xml:space="preserve">piegādāt (pārdot) </w:t>
      </w:r>
      <w:r w:rsidR="00CF2146">
        <w:rPr>
          <w:rFonts w:asciiTheme="minorHAnsi" w:hAnsiTheme="minorHAnsi" w:cstheme="minorHAnsi"/>
          <w:sz w:val="24"/>
          <w:szCs w:val="24"/>
          <w:lang w:val="lv-LV"/>
        </w:rPr>
        <w:t>kvadriciklu</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CF2146"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Kvadricikla marka/modelis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CF2146" w:rsidRPr="00C81760" w:rsidTr="00CF2146">
        <w:trPr>
          <w:trHeight w:val="703"/>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C903A9">
        <w:rPr>
          <w:rFonts w:asciiTheme="minorHAnsi" w:hAnsiTheme="minorHAnsi" w:cstheme="minorHAnsi"/>
          <w:sz w:val="24"/>
          <w:szCs w:val="24"/>
          <w:lang w:val="lv-LV"/>
        </w:rPr>
        <w:t>kvadricikla</w:t>
      </w:r>
      <w:r>
        <w:rPr>
          <w:rFonts w:asciiTheme="minorHAnsi" w:hAnsiTheme="minorHAnsi" w:cstheme="minorHAnsi"/>
          <w:sz w:val="24"/>
          <w:szCs w:val="24"/>
          <w:lang w:val="lv-LV"/>
        </w:rPr>
        <w:t xml:space="preserve"> 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C903A9">
        <w:rPr>
          <w:rFonts w:asciiTheme="minorHAnsi" w:hAnsiTheme="minorHAnsi" w:cstheme="minorHAnsi"/>
          <w:bCs/>
          <w:sz w:val="24"/>
          <w:szCs w:val="24"/>
        </w:rPr>
        <w:t>07</w:t>
      </w:r>
    </w:p>
    <w:p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3.pielikums</w:t>
      </w:r>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972"/>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Bezatstarpm"/>
              <w:jc w:val="center"/>
              <w:rPr>
                <w:rFonts w:asciiTheme="minorHAnsi" w:hAnsiTheme="minorHAnsi" w:cstheme="minorHAnsi"/>
                <w:b/>
              </w:rPr>
            </w:pPr>
            <w:r w:rsidRPr="00C77655">
              <w:rPr>
                <w:rFonts w:asciiTheme="minorHAnsi" w:hAnsiTheme="minorHAnsi" w:cstheme="minorHAnsi"/>
                <w:b/>
              </w:rPr>
              <w:t>1</w:t>
            </w: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Pasūtītājs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Izpildītājs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priekšmets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summa EUR, bez PVN</w:t>
            </w:r>
          </w:p>
        </w:tc>
        <w:tc>
          <w:tcPr>
            <w:tcW w:w="4972" w:type="dxa"/>
            <w:shd w:val="clear" w:color="auto" w:fill="auto"/>
          </w:tcPr>
          <w:p w:rsidR="00C77655" w:rsidRPr="00C77655" w:rsidRDefault="00C77655" w:rsidP="00C77655">
            <w:pPr>
              <w:pStyle w:val="Bezatstarpm"/>
              <w:rPr>
                <w:rFonts w:asciiTheme="minorHAnsi" w:hAnsiTheme="minorHAnsi" w:cstheme="minorHAnsi"/>
                <w:i/>
              </w:rPr>
            </w:pPr>
            <w:r w:rsidRPr="00C77655">
              <w:rPr>
                <w:rFonts w:asciiTheme="minorHAnsi" w:hAnsiTheme="minorHAnsi" w:cstheme="minorHAnsi"/>
                <w:i/>
              </w:rPr>
              <w:t xml:space="preserve"> </w:t>
            </w:r>
          </w:p>
        </w:tc>
      </w:tr>
      <w:tr w:rsidR="00C77655" w:rsidRPr="00C77655" w:rsidTr="00BC0A43">
        <w:trPr>
          <w:trHeight w:val="227"/>
        </w:trPr>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bCs/>
              </w:rPr>
              <w:t xml:space="preserve">Līguma ietvaros </w:t>
            </w:r>
            <w:r w:rsidR="00BC0A43">
              <w:rPr>
                <w:rFonts w:asciiTheme="minorHAnsi" w:hAnsiTheme="minorHAnsi" w:cstheme="minorHAnsi"/>
                <w:bCs/>
              </w:rPr>
              <w:t xml:space="preserve">pārdotais </w:t>
            </w:r>
            <w:r w:rsidR="00C903A9">
              <w:rPr>
                <w:rFonts w:asciiTheme="minorHAnsi" w:hAnsiTheme="minorHAnsi" w:cstheme="minorHAnsi"/>
                <w:bCs/>
              </w:rPr>
              <w:t>kvadricikls/-i (marka, modelis)</w:t>
            </w:r>
          </w:p>
        </w:tc>
        <w:tc>
          <w:tcPr>
            <w:tcW w:w="4972" w:type="dxa"/>
            <w:shd w:val="clear" w:color="auto" w:fill="auto"/>
          </w:tcPr>
          <w:p w:rsidR="00C77655" w:rsidRPr="00C903A9" w:rsidRDefault="00C77655" w:rsidP="00C77655">
            <w:pPr>
              <w:pStyle w:val="Bezatstarpm"/>
              <w:rPr>
                <w:rFonts w:asciiTheme="minorHAnsi" w:hAnsiTheme="minorHAnsi" w:cstheme="minorHAnsi"/>
                <w:iCs/>
              </w:rPr>
            </w:pPr>
          </w:p>
        </w:tc>
      </w:tr>
      <w:tr w:rsidR="00C77655" w:rsidRPr="00C77655" w:rsidTr="00BC0A43">
        <w:trPr>
          <w:trHeight w:val="227"/>
        </w:trPr>
        <w:tc>
          <w:tcPr>
            <w:tcW w:w="4521" w:type="dxa"/>
            <w:shd w:val="clear" w:color="auto" w:fill="auto"/>
          </w:tcPr>
          <w:p w:rsidR="00C77655" w:rsidRPr="00C77655" w:rsidRDefault="00BC0A43" w:rsidP="00C77655">
            <w:pPr>
              <w:pStyle w:val="Bezatstarpm"/>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BC0A43">
        <w:tc>
          <w:tcPr>
            <w:tcW w:w="4521"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972" w:type="dxa"/>
            <w:shd w:val="clear" w:color="auto" w:fill="auto"/>
          </w:tcPr>
          <w:p w:rsidR="00C77655" w:rsidRPr="00C77655" w:rsidRDefault="00C77655" w:rsidP="00C77655">
            <w:pPr>
              <w:pStyle w:val="Bezatstarpm"/>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Default="00C77655">
      <w:pPr>
        <w:rPr>
          <w:rFonts w:asciiTheme="minorHAnsi" w:hAnsiTheme="minorHAnsi" w:cstheme="minorHAnsi"/>
          <w:sz w:val="24"/>
          <w:szCs w:val="24"/>
          <w:lang w:eastAsia="ar-SA"/>
        </w:rPr>
      </w:pPr>
    </w:p>
    <w:p w:rsidR="00BC0A43" w:rsidRPr="00C77655" w:rsidRDefault="00BC0A43">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C903A9">
        <w:rPr>
          <w:rFonts w:asciiTheme="minorHAnsi" w:hAnsiTheme="minorHAnsi" w:cstheme="minorHAnsi"/>
          <w:sz w:val="24"/>
          <w:szCs w:val="24"/>
          <w:lang w:val="lv-LV" w:eastAsia="ar-SA"/>
        </w:rPr>
        <w:t>07</w:t>
      </w:r>
    </w:p>
    <w:p w:rsidR="00285683" w:rsidRDefault="00EB7850"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B66862" w:rsidRDefault="00B66862" w:rsidP="00285683">
      <w:pPr>
        <w:jc w:val="center"/>
        <w:rPr>
          <w:rFonts w:asciiTheme="minorHAnsi" w:hAnsiTheme="minorHAnsi" w:cstheme="minorHAnsi"/>
          <w:b/>
          <w:sz w:val="24"/>
          <w:szCs w:val="24"/>
          <w:lang w:val="lv-LV" w:eastAsia="ar-SA"/>
        </w:rPr>
      </w:pP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Reatabula"/>
        <w:tblW w:w="0" w:type="auto"/>
        <w:tblLook w:val="04A0" w:firstRow="1" w:lastRow="0" w:firstColumn="1" w:lastColumn="0" w:noHBand="0" w:noVBand="1"/>
      </w:tblPr>
      <w:tblGrid>
        <w:gridCol w:w="3162"/>
        <w:gridCol w:w="3163"/>
        <w:gridCol w:w="3163"/>
      </w:tblGrid>
      <w:tr w:rsidR="00C903A9" w:rsidTr="00B66862">
        <w:tc>
          <w:tcPr>
            <w:tcW w:w="3162" w:type="dxa"/>
            <w:shd w:val="clear" w:color="auto" w:fill="D9D9D9" w:themeFill="background1" w:themeFillShade="D9"/>
            <w:vAlign w:val="center"/>
          </w:tcPr>
          <w:p w:rsidR="00C903A9" w:rsidRPr="00C903A9" w:rsidRDefault="00C903A9" w:rsidP="00B66862">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Tehniskie dati</w:t>
            </w:r>
          </w:p>
        </w:tc>
        <w:tc>
          <w:tcPr>
            <w:tcW w:w="3163" w:type="dxa"/>
            <w:shd w:val="clear" w:color="auto" w:fill="D9D9D9" w:themeFill="background1" w:themeFillShade="D9"/>
            <w:vAlign w:val="center"/>
          </w:tcPr>
          <w:p w:rsidR="00C903A9" w:rsidRPr="00C903A9" w:rsidRDefault="00C903A9" w:rsidP="00B66862">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3163" w:type="dxa"/>
            <w:shd w:val="clear" w:color="auto" w:fill="D9D9D9" w:themeFill="background1" w:themeFillShade="D9"/>
            <w:vAlign w:val="center"/>
          </w:tcPr>
          <w:p w:rsidR="00C903A9" w:rsidRPr="00C903A9" w:rsidRDefault="00C903A9" w:rsidP="00B66862">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B66862">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C903A9" w:rsidTr="00B66862">
        <w:trPr>
          <w:trHeight w:val="510"/>
        </w:trPr>
        <w:tc>
          <w:tcPr>
            <w:tcW w:w="3162" w:type="dxa"/>
            <w:vAlign w:val="center"/>
          </w:tcPr>
          <w:p w:rsidR="00C903A9" w:rsidRPr="00C903A9" w:rsidRDefault="00C903A9" w:rsidP="00B66862">
            <w:pPr>
              <w:rPr>
                <w:rFonts w:asciiTheme="minorHAnsi" w:eastAsia="Arial" w:hAnsiTheme="minorHAnsi" w:cstheme="minorHAnsi"/>
                <w:sz w:val="24"/>
                <w:szCs w:val="24"/>
                <w:lang w:val="lv-LV"/>
              </w:rPr>
            </w:pPr>
            <w:r w:rsidRPr="00C903A9">
              <w:rPr>
                <w:rFonts w:asciiTheme="minorHAnsi" w:eastAsia="Arial" w:hAnsiTheme="minorHAnsi" w:cstheme="minorHAnsi"/>
                <w:sz w:val="24"/>
                <w:szCs w:val="24"/>
                <w:lang w:val="lv-LV"/>
              </w:rPr>
              <w:t>Dzinēja tilpums (cm</w:t>
            </w:r>
            <w:r w:rsidRPr="00C903A9">
              <w:rPr>
                <w:rFonts w:asciiTheme="minorHAnsi" w:eastAsia="Arial" w:hAnsiTheme="minorHAnsi" w:cstheme="minorHAnsi"/>
                <w:sz w:val="24"/>
                <w:szCs w:val="24"/>
                <w:vertAlign w:val="superscript"/>
                <w:lang w:val="lv-LV"/>
              </w:rPr>
              <w:t>3</w:t>
            </w:r>
            <w:r w:rsidRPr="00C903A9">
              <w:rPr>
                <w:rFonts w:asciiTheme="minorHAnsi" w:eastAsia="Arial" w:hAnsiTheme="minorHAnsi" w:cstheme="minorHAnsi"/>
                <w:sz w:val="24"/>
                <w:szCs w:val="24"/>
                <w:lang w:val="lv-LV"/>
              </w:rPr>
              <w:t>)</w:t>
            </w:r>
          </w:p>
        </w:tc>
        <w:tc>
          <w:tcPr>
            <w:tcW w:w="3163" w:type="dxa"/>
            <w:vAlign w:val="center"/>
          </w:tcPr>
          <w:p w:rsidR="00C903A9" w:rsidRPr="00C903A9" w:rsidRDefault="00C903A9" w:rsidP="00B66862">
            <w:pPr>
              <w:rPr>
                <w:rFonts w:asciiTheme="minorHAnsi" w:eastAsia="Arial" w:hAnsiTheme="minorHAnsi" w:cstheme="minorHAnsi"/>
                <w:sz w:val="24"/>
                <w:szCs w:val="24"/>
                <w:lang w:val="lv-LV"/>
              </w:rPr>
            </w:pPr>
            <w:r w:rsidRPr="00C903A9">
              <w:rPr>
                <w:rFonts w:asciiTheme="minorHAnsi" w:eastAsia="Arial" w:hAnsiTheme="minorHAnsi" w:cstheme="minorHAnsi"/>
                <w:sz w:val="24"/>
                <w:szCs w:val="24"/>
                <w:lang w:val="lv-LV"/>
              </w:rPr>
              <w:t>No 650-900 cm</w:t>
            </w:r>
            <w:r w:rsidRPr="00C903A9">
              <w:rPr>
                <w:rFonts w:asciiTheme="minorHAnsi" w:eastAsia="Arial" w:hAnsiTheme="minorHAnsi" w:cstheme="minorHAnsi"/>
                <w:sz w:val="24"/>
                <w:szCs w:val="24"/>
                <w:vertAlign w:val="superscript"/>
                <w:lang w:val="lv-LV"/>
              </w:rPr>
              <w:t>3</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Tr="00B66862">
        <w:trPr>
          <w:trHeight w:val="510"/>
        </w:trPr>
        <w:tc>
          <w:tcPr>
            <w:tcW w:w="3162" w:type="dxa"/>
            <w:vAlign w:val="center"/>
          </w:tcPr>
          <w:p w:rsidR="00C903A9" w:rsidRPr="00C903A9" w:rsidRDefault="00C903A9" w:rsidP="00B66862">
            <w:pPr>
              <w:rPr>
                <w:rFonts w:asciiTheme="minorHAnsi" w:eastAsia="Arial" w:hAnsiTheme="minorHAnsi" w:cstheme="minorHAnsi"/>
                <w:sz w:val="24"/>
                <w:szCs w:val="24"/>
                <w:lang w:val="lv-LV"/>
              </w:rPr>
            </w:pPr>
            <w:r w:rsidRPr="00C903A9">
              <w:rPr>
                <w:rFonts w:asciiTheme="minorHAnsi" w:eastAsia="Arial" w:hAnsiTheme="minorHAnsi" w:cstheme="minorHAnsi"/>
                <w:sz w:val="24"/>
                <w:szCs w:val="24"/>
                <w:lang w:val="lv-LV"/>
              </w:rPr>
              <w:t>Dzinēja tips</w:t>
            </w:r>
          </w:p>
        </w:tc>
        <w:tc>
          <w:tcPr>
            <w:tcW w:w="3163" w:type="dxa"/>
            <w:vAlign w:val="center"/>
          </w:tcPr>
          <w:p w:rsidR="00C903A9" w:rsidRPr="00C903A9" w:rsidRDefault="00C903A9" w:rsidP="00B66862">
            <w:pPr>
              <w:rPr>
                <w:rFonts w:asciiTheme="minorHAnsi" w:eastAsia="Arial" w:hAnsiTheme="minorHAnsi" w:cstheme="minorHAnsi"/>
                <w:sz w:val="24"/>
                <w:szCs w:val="24"/>
                <w:lang w:val="lv-LV"/>
              </w:rPr>
            </w:pPr>
            <w:r w:rsidRPr="00C903A9">
              <w:rPr>
                <w:rFonts w:asciiTheme="minorHAnsi" w:eastAsia="Arial" w:hAnsiTheme="minorHAnsi" w:cstheme="minorHAnsi"/>
                <w:sz w:val="24"/>
                <w:szCs w:val="24"/>
                <w:lang w:val="lv-LV"/>
              </w:rPr>
              <w:t xml:space="preserve">4 taktu, šķidruma </w:t>
            </w:r>
            <w:proofErr w:type="spellStart"/>
            <w:r w:rsidRPr="00C903A9">
              <w:rPr>
                <w:rFonts w:asciiTheme="minorHAnsi" w:eastAsia="Arial" w:hAnsiTheme="minorHAnsi" w:cstheme="minorHAnsi"/>
                <w:sz w:val="24"/>
                <w:szCs w:val="24"/>
                <w:lang w:val="lv-LV"/>
              </w:rPr>
              <w:t>dzese</w:t>
            </w:r>
            <w:proofErr w:type="spellEnd"/>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Tr="00B66862">
        <w:trPr>
          <w:trHeight w:val="510"/>
        </w:trPr>
        <w:tc>
          <w:tcPr>
            <w:tcW w:w="3162" w:type="dxa"/>
            <w:vAlign w:val="center"/>
          </w:tcPr>
          <w:p w:rsidR="00C903A9" w:rsidRPr="00C903A9" w:rsidRDefault="00C903A9" w:rsidP="00B66862">
            <w:pPr>
              <w:rPr>
                <w:rFonts w:asciiTheme="minorHAnsi" w:eastAsia="Arial" w:hAnsiTheme="minorHAnsi" w:cstheme="minorHAnsi"/>
                <w:sz w:val="24"/>
                <w:szCs w:val="24"/>
                <w:lang w:val="lv-LV"/>
              </w:rPr>
            </w:pPr>
            <w:proofErr w:type="spellStart"/>
            <w:r w:rsidRPr="00C903A9">
              <w:rPr>
                <w:rFonts w:asciiTheme="minorHAnsi" w:eastAsia="Arial" w:hAnsiTheme="minorHAnsi" w:cstheme="minorHAnsi"/>
                <w:sz w:val="24"/>
                <w:szCs w:val="24"/>
                <w:lang w:val="lv-LV"/>
              </w:rPr>
              <w:t>Klīrenss</w:t>
            </w:r>
            <w:proofErr w:type="spellEnd"/>
            <w:r w:rsidRPr="00C903A9">
              <w:rPr>
                <w:rFonts w:asciiTheme="minorHAnsi" w:eastAsia="Arial" w:hAnsiTheme="minorHAnsi" w:cstheme="minorHAnsi"/>
                <w:sz w:val="24"/>
                <w:szCs w:val="24"/>
                <w:lang w:val="lv-LV"/>
              </w:rPr>
              <w:t xml:space="preserve"> (mm)</w:t>
            </w:r>
          </w:p>
        </w:tc>
        <w:tc>
          <w:tcPr>
            <w:tcW w:w="3163" w:type="dxa"/>
            <w:vAlign w:val="center"/>
          </w:tcPr>
          <w:p w:rsidR="00C903A9" w:rsidRPr="00C903A9" w:rsidRDefault="00C903A9" w:rsidP="00B66862">
            <w:pPr>
              <w:rPr>
                <w:rFonts w:asciiTheme="minorHAnsi" w:eastAsia="Arial" w:hAnsiTheme="minorHAnsi" w:cstheme="minorHAnsi"/>
                <w:sz w:val="24"/>
                <w:szCs w:val="24"/>
                <w:lang w:val="lv-LV"/>
              </w:rPr>
            </w:pPr>
            <w:r w:rsidRPr="00C903A9">
              <w:rPr>
                <w:rFonts w:asciiTheme="minorHAnsi" w:eastAsia="Arial" w:hAnsiTheme="minorHAnsi" w:cstheme="minorHAnsi"/>
                <w:sz w:val="24"/>
                <w:szCs w:val="24"/>
                <w:lang w:val="lv-LV"/>
              </w:rPr>
              <w:t>Ne mazāk kā 250 mm</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Tr="00B66862">
        <w:trPr>
          <w:trHeight w:val="510"/>
        </w:trPr>
        <w:tc>
          <w:tcPr>
            <w:tcW w:w="3162" w:type="dxa"/>
            <w:vAlign w:val="center"/>
          </w:tcPr>
          <w:p w:rsidR="00C903A9" w:rsidRPr="00C903A9" w:rsidRDefault="00C903A9" w:rsidP="00B66862">
            <w:pPr>
              <w:rPr>
                <w:rFonts w:asciiTheme="minorHAnsi" w:eastAsia="Arial" w:hAnsiTheme="minorHAnsi" w:cstheme="minorHAnsi"/>
                <w:sz w:val="24"/>
                <w:szCs w:val="24"/>
                <w:lang w:val="lv-LV"/>
              </w:rPr>
            </w:pPr>
            <w:r w:rsidRPr="00C903A9">
              <w:rPr>
                <w:rFonts w:asciiTheme="minorHAnsi" w:eastAsia="Arial" w:hAnsiTheme="minorHAnsi" w:cstheme="minorHAnsi"/>
                <w:sz w:val="24"/>
                <w:szCs w:val="24"/>
                <w:lang w:val="lv-LV"/>
              </w:rPr>
              <w:t>Degvielas tvertnes tilpums (l)</w:t>
            </w:r>
          </w:p>
        </w:tc>
        <w:tc>
          <w:tcPr>
            <w:tcW w:w="3163" w:type="dxa"/>
            <w:vAlign w:val="center"/>
          </w:tcPr>
          <w:p w:rsidR="00C903A9" w:rsidRPr="00C903A9" w:rsidRDefault="00C903A9"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Ne mazāk kā 20 l</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Tr="00B66862">
        <w:trPr>
          <w:trHeight w:val="510"/>
        </w:trPr>
        <w:tc>
          <w:tcPr>
            <w:tcW w:w="3162" w:type="dxa"/>
            <w:vAlign w:val="center"/>
          </w:tcPr>
          <w:p w:rsidR="00C903A9" w:rsidRPr="00C903A9" w:rsidRDefault="00C903A9"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Aizdedze</w:t>
            </w:r>
          </w:p>
        </w:tc>
        <w:tc>
          <w:tcPr>
            <w:tcW w:w="3163" w:type="dxa"/>
            <w:vAlign w:val="center"/>
          </w:tcPr>
          <w:p w:rsidR="00C903A9" w:rsidRPr="00C903A9" w:rsidRDefault="00C903A9"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Elektroniskā</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B3052A" w:rsidTr="00B66862">
        <w:trPr>
          <w:trHeight w:val="510"/>
        </w:trPr>
        <w:tc>
          <w:tcPr>
            <w:tcW w:w="3162" w:type="dxa"/>
            <w:vAlign w:val="center"/>
          </w:tcPr>
          <w:p w:rsidR="00B3052A"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Barošanas sistēma</w:t>
            </w:r>
          </w:p>
        </w:tc>
        <w:tc>
          <w:tcPr>
            <w:tcW w:w="3163" w:type="dxa"/>
            <w:vAlign w:val="center"/>
          </w:tcPr>
          <w:p w:rsidR="00B3052A"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Elektroniskā iesmidzināšana</w:t>
            </w:r>
          </w:p>
        </w:tc>
        <w:tc>
          <w:tcPr>
            <w:tcW w:w="3163" w:type="dxa"/>
            <w:vAlign w:val="center"/>
          </w:tcPr>
          <w:p w:rsidR="00B3052A" w:rsidRPr="00C903A9" w:rsidRDefault="00B3052A" w:rsidP="00B66862">
            <w:pPr>
              <w:jc w:val="center"/>
              <w:rPr>
                <w:rFonts w:asciiTheme="minorHAnsi" w:eastAsia="Arial" w:hAnsiTheme="minorHAnsi" w:cstheme="minorHAnsi"/>
                <w:sz w:val="24"/>
                <w:szCs w:val="24"/>
                <w:lang w:val="lv-LV"/>
              </w:rPr>
            </w:pPr>
          </w:p>
        </w:tc>
      </w:tr>
      <w:tr w:rsidR="00C903A9" w:rsidRPr="003F4544" w:rsidTr="00B66862">
        <w:trPr>
          <w:trHeight w:val="1587"/>
        </w:trPr>
        <w:tc>
          <w:tcPr>
            <w:tcW w:w="3162" w:type="dxa"/>
            <w:vAlign w:val="center"/>
          </w:tcPr>
          <w:p w:rsidR="00C903A9" w:rsidRPr="00C903A9" w:rsidRDefault="00C903A9"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Transmisija</w:t>
            </w:r>
          </w:p>
        </w:tc>
        <w:tc>
          <w:tcPr>
            <w:tcW w:w="3163" w:type="dxa"/>
            <w:vAlign w:val="center"/>
          </w:tcPr>
          <w:p w:rsid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 xml:space="preserve">1) Automātisks </w:t>
            </w:r>
            <w:proofErr w:type="spellStart"/>
            <w:r>
              <w:rPr>
                <w:rFonts w:asciiTheme="minorHAnsi" w:eastAsia="Arial" w:hAnsiTheme="minorHAnsi" w:cstheme="minorHAnsi"/>
                <w:sz w:val="24"/>
                <w:szCs w:val="24"/>
                <w:lang w:val="lv-LV"/>
              </w:rPr>
              <w:t>variators</w:t>
            </w:r>
            <w:proofErr w:type="spellEnd"/>
          </w:p>
          <w:p w:rsidR="00B3052A" w:rsidRDefault="00B3052A" w:rsidP="00B66862">
            <w:pPr>
              <w:rPr>
                <w:rFonts w:asciiTheme="minorHAnsi" w:eastAsia="Arial" w:hAnsiTheme="minorHAnsi" w:cstheme="minorHAnsi"/>
                <w:sz w:val="24"/>
                <w:szCs w:val="24"/>
                <w:lang w:val="lv-LV"/>
              </w:rPr>
            </w:pPr>
          </w:p>
          <w:p w:rsidR="00B3052A"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2) 4WD ar iespēju ieslēgt pazeminošo pārnesumu un atpakaļgaitu</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RPr="003F4544" w:rsidTr="00B66862">
        <w:trPr>
          <w:trHeight w:val="737"/>
        </w:trPr>
        <w:tc>
          <w:tcPr>
            <w:tcW w:w="3162"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Transmisijas piedziņa</w:t>
            </w:r>
          </w:p>
        </w:tc>
        <w:tc>
          <w:tcPr>
            <w:tcW w:w="3163"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Kardānu piedziņa uz priekšējo un aizmugurējo transmisiju</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RPr="00B3052A" w:rsidTr="00B66862">
        <w:trPr>
          <w:trHeight w:val="1304"/>
        </w:trPr>
        <w:tc>
          <w:tcPr>
            <w:tcW w:w="3162"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Stūre</w:t>
            </w:r>
          </w:p>
        </w:tc>
        <w:tc>
          <w:tcPr>
            <w:tcW w:w="3163" w:type="dxa"/>
            <w:vAlign w:val="center"/>
          </w:tcPr>
          <w:p w:rsid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1) Aprīkota ar EPS (elektrisko stūres pastiprinātāju)</w:t>
            </w:r>
          </w:p>
          <w:p w:rsidR="00B3052A" w:rsidRDefault="00B3052A" w:rsidP="00B66862">
            <w:pPr>
              <w:rPr>
                <w:rFonts w:asciiTheme="minorHAnsi" w:eastAsia="Arial" w:hAnsiTheme="minorHAnsi" w:cstheme="minorHAnsi"/>
                <w:sz w:val="24"/>
                <w:szCs w:val="24"/>
                <w:lang w:val="lv-LV"/>
              </w:rPr>
            </w:pPr>
          </w:p>
          <w:p w:rsidR="00B3052A"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2) apsildāmi stūres rokturi</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RPr="00B3052A" w:rsidTr="00B66862">
        <w:trPr>
          <w:trHeight w:val="1020"/>
        </w:trPr>
        <w:tc>
          <w:tcPr>
            <w:tcW w:w="3162"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 xml:space="preserve">Priekšējā </w:t>
            </w:r>
            <w:proofErr w:type="spellStart"/>
            <w:r>
              <w:rPr>
                <w:rFonts w:asciiTheme="minorHAnsi" w:eastAsia="Arial" w:hAnsiTheme="minorHAnsi" w:cstheme="minorHAnsi"/>
                <w:sz w:val="24"/>
                <w:szCs w:val="24"/>
                <w:lang w:val="lv-LV"/>
              </w:rPr>
              <w:t>piekare</w:t>
            </w:r>
            <w:proofErr w:type="spellEnd"/>
          </w:p>
        </w:tc>
        <w:tc>
          <w:tcPr>
            <w:tcW w:w="3163"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Neatkarīgā 2 eļļas amortizatori (regulējama atspere)</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RPr="00B3052A" w:rsidTr="00B66862">
        <w:trPr>
          <w:trHeight w:val="1020"/>
        </w:trPr>
        <w:tc>
          <w:tcPr>
            <w:tcW w:w="3162"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 xml:space="preserve">Aizmugurējā </w:t>
            </w:r>
            <w:proofErr w:type="spellStart"/>
            <w:r>
              <w:rPr>
                <w:rFonts w:asciiTheme="minorHAnsi" w:eastAsia="Arial" w:hAnsiTheme="minorHAnsi" w:cstheme="minorHAnsi"/>
                <w:sz w:val="24"/>
                <w:szCs w:val="24"/>
                <w:lang w:val="lv-LV"/>
              </w:rPr>
              <w:t>piekare</w:t>
            </w:r>
            <w:proofErr w:type="spellEnd"/>
          </w:p>
        </w:tc>
        <w:tc>
          <w:tcPr>
            <w:tcW w:w="3163"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Neatkarīgā 2 eļļas amortizatori (regulējama atspere)</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RPr="00B3052A" w:rsidTr="00B66862">
        <w:trPr>
          <w:trHeight w:val="510"/>
        </w:trPr>
        <w:tc>
          <w:tcPr>
            <w:tcW w:w="3162"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Priekšējās bremzes</w:t>
            </w:r>
          </w:p>
        </w:tc>
        <w:tc>
          <w:tcPr>
            <w:tcW w:w="3163"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Hidrauliskās disku</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RPr="00B3052A" w:rsidTr="00B66862">
        <w:trPr>
          <w:trHeight w:val="510"/>
        </w:trPr>
        <w:tc>
          <w:tcPr>
            <w:tcW w:w="3162"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Aizmugurējās bremzes</w:t>
            </w:r>
          </w:p>
        </w:tc>
        <w:tc>
          <w:tcPr>
            <w:tcW w:w="3163"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Hidrauliskās disku vai trumuļu</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RPr="00B3052A" w:rsidTr="00B66862">
        <w:trPr>
          <w:trHeight w:val="510"/>
        </w:trPr>
        <w:tc>
          <w:tcPr>
            <w:tcW w:w="3162"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Priekšējās riepas</w:t>
            </w:r>
          </w:p>
        </w:tc>
        <w:tc>
          <w:tcPr>
            <w:tcW w:w="3163"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Ne mazāk kā 25 x 8 - 12</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RPr="00B3052A" w:rsidTr="00B66862">
        <w:trPr>
          <w:trHeight w:val="510"/>
        </w:trPr>
        <w:tc>
          <w:tcPr>
            <w:tcW w:w="3162"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Aizmugurējās riepas</w:t>
            </w:r>
          </w:p>
        </w:tc>
        <w:tc>
          <w:tcPr>
            <w:tcW w:w="3163"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Ne mazāk kā 25 x 10 - 12</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RPr="00B3052A" w:rsidTr="00B07535">
        <w:trPr>
          <w:trHeight w:val="4762"/>
        </w:trPr>
        <w:tc>
          <w:tcPr>
            <w:tcW w:w="3162" w:type="dxa"/>
            <w:vAlign w:val="center"/>
          </w:tcPr>
          <w:p w:rsidR="00C903A9" w:rsidRP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lastRenderedPageBreak/>
              <w:t>Komplektācijā iekļaujamais papildaprīkojums, ekstras</w:t>
            </w:r>
          </w:p>
        </w:tc>
        <w:tc>
          <w:tcPr>
            <w:tcW w:w="3163" w:type="dxa"/>
            <w:vAlign w:val="center"/>
          </w:tcPr>
          <w:p w:rsidR="00C903A9"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1) Aizmugurējais bagāžas paliktnis</w:t>
            </w:r>
          </w:p>
          <w:p w:rsidR="00B3052A" w:rsidRDefault="00B3052A" w:rsidP="00B66862">
            <w:pPr>
              <w:rPr>
                <w:rFonts w:asciiTheme="minorHAnsi" w:eastAsia="Arial" w:hAnsiTheme="minorHAnsi" w:cstheme="minorHAnsi"/>
                <w:sz w:val="24"/>
                <w:szCs w:val="24"/>
                <w:lang w:val="lv-LV"/>
              </w:rPr>
            </w:pPr>
          </w:p>
          <w:p w:rsidR="00B3052A"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2) Piekabes āķis ar rozeti (vieglās automašīnas piekabei)</w:t>
            </w:r>
          </w:p>
          <w:p w:rsidR="00B3052A" w:rsidRDefault="00B3052A" w:rsidP="00B66862">
            <w:pPr>
              <w:rPr>
                <w:rFonts w:asciiTheme="minorHAnsi" w:eastAsia="Arial" w:hAnsiTheme="minorHAnsi" w:cstheme="minorHAnsi"/>
                <w:sz w:val="24"/>
                <w:szCs w:val="24"/>
                <w:lang w:val="lv-LV"/>
              </w:rPr>
            </w:pPr>
          </w:p>
          <w:p w:rsidR="00B3052A" w:rsidRDefault="00B3052A"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3) elektriskā vinča ar jaudu ne mazāk kā 1200 kg</w:t>
            </w:r>
          </w:p>
          <w:p w:rsidR="00B66862" w:rsidRDefault="00B66862" w:rsidP="00B66862">
            <w:pPr>
              <w:rPr>
                <w:rFonts w:asciiTheme="minorHAnsi" w:eastAsia="Arial" w:hAnsiTheme="minorHAnsi" w:cstheme="minorHAnsi"/>
                <w:sz w:val="24"/>
                <w:szCs w:val="24"/>
                <w:lang w:val="lv-LV"/>
              </w:rPr>
            </w:pPr>
          </w:p>
          <w:p w:rsidR="00B66862" w:rsidRDefault="00B66862"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4) Braucams pa koplietošanas autoceļiem ar B kategorijas autovadītāja apliecību</w:t>
            </w:r>
          </w:p>
          <w:p w:rsidR="00B66862" w:rsidRDefault="00B66862" w:rsidP="00B66862">
            <w:pPr>
              <w:rPr>
                <w:rFonts w:asciiTheme="minorHAnsi" w:eastAsia="Arial" w:hAnsiTheme="minorHAnsi" w:cstheme="minorHAnsi"/>
                <w:sz w:val="24"/>
                <w:szCs w:val="24"/>
                <w:lang w:val="lv-LV"/>
              </w:rPr>
            </w:pPr>
          </w:p>
          <w:p w:rsidR="00B07535" w:rsidRDefault="00B66862"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5</w:t>
            </w:r>
            <w:r w:rsidRPr="00B07535">
              <w:rPr>
                <w:rFonts w:asciiTheme="minorHAnsi" w:eastAsia="Arial" w:hAnsiTheme="minorHAnsi" w:cstheme="minorHAnsi"/>
                <w:sz w:val="24"/>
                <w:szCs w:val="24"/>
                <w:lang w:val="lv-LV"/>
              </w:rPr>
              <w:t>) Jāpiereģistrē CSDD</w:t>
            </w:r>
            <w:r w:rsidR="003F4544">
              <w:rPr>
                <w:rFonts w:asciiTheme="minorHAnsi" w:eastAsia="Arial" w:hAnsiTheme="minorHAnsi" w:cstheme="minorHAnsi"/>
                <w:sz w:val="24"/>
                <w:szCs w:val="24"/>
                <w:lang w:val="lv-LV"/>
              </w:rPr>
              <w:t xml:space="preserve"> uz Nīcas novada domes vārda</w:t>
            </w:r>
          </w:p>
          <w:p w:rsidR="00B07535" w:rsidRDefault="00B07535" w:rsidP="00B66862">
            <w:pPr>
              <w:rPr>
                <w:rFonts w:asciiTheme="minorHAnsi" w:eastAsia="Arial" w:hAnsiTheme="minorHAnsi" w:cstheme="minorHAnsi"/>
                <w:sz w:val="24"/>
                <w:szCs w:val="24"/>
                <w:lang w:val="lv-LV"/>
              </w:rPr>
            </w:pPr>
          </w:p>
          <w:p w:rsidR="00B66862" w:rsidRPr="00C903A9" w:rsidRDefault="00B07535"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 xml:space="preserve">6) </w:t>
            </w:r>
            <w:r w:rsidR="00B66862" w:rsidRPr="00B07535">
              <w:rPr>
                <w:rFonts w:asciiTheme="minorHAnsi" w:eastAsia="Arial" w:hAnsiTheme="minorHAnsi" w:cstheme="minorHAnsi"/>
                <w:sz w:val="24"/>
                <w:szCs w:val="24"/>
                <w:lang w:val="lv-LV"/>
              </w:rPr>
              <w:t>OCTA</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C903A9" w:rsidRPr="003F4544" w:rsidTr="00B66862">
        <w:trPr>
          <w:trHeight w:val="1928"/>
        </w:trPr>
        <w:tc>
          <w:tcPr>
            <w:tcW w:w="3162" w:type="dxa"/>
            <w:vAlign w:val="center"/>
          </w:tcPr>
          <w:p w:rsidR="00C903A9" w:rsidRPr="00C903A9" w:rsidRDefault="00B66862"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Servisu centri</w:t>
            </w:r>
          </w:p>
        </w:tc>
        <w:tc>
          <w:tcPr>
            <w:tcW w:w="3163" w:type="dxa"/>
            <w:vAlign w:val="center"/>
          </w:tcPr>
          <w:p w:rsidR="00C903A9" w:rsidRPr="00C903A9" w:rsidRDefault="00B66862"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Atraš</w:t>
            </w:r>
            <w:r w:rsidR="00B07535">
              <w:rPr>
                <w:rFonts w:asciiTheme="minorHAnsi" w:eastAsia="Arial" w:hAnsiTheme="minorHAnsi" w:cstheme="minorHAnsi"/>
                <w:sz w:val="24"/>
                <w:szCs w:val="24"/>
                <w:lang w:val="lv-LV"/>
              </w:rPr>
              <w:t>a</w:t>
            </w:r>
            <w:r>
              <w:rPr>
                <w:rFonts w:asciiTheme="minorHAnsi" w:eastAsia="Arial" w:hAnsiTheme="minorHAnsi" w:cstheme="minorHAnsi"/>
                <w:sz w:val="24"/>
                <w:szCs w:val="24"/>
                <w:lang w:val="lv-LV"/>
              </w:rPr>
              <w:t>nās vietas, kur Pasūtītājs līguma ietvaros varēs veikt Kvadricikla periodiskās tehniskās apkopes un garantijas remontu</w:t>
            </w:r>
          </w:p>
        </w:tc>
        <w:tc>
          <w:tcPr>
            <w:tcW w:w="3163" w:type="dxa"/>
            <w:vAlign w:val="center"/>
          </w:tcPr>
          <w:p w:rsidR="00C903A9" w:rsidRPr="00C903A9" w:rsidRDefault="00C903A9" w:rsidP="00B66862">
            <w:pPr>
              <w:jc w:val="center"/>
              <w:rPr>
                <w:rFonts w:asciiTheme="minorHAnsi" w:eastAsia="Arial" w:hAnsiTheme="minorHAnsi" w:cstheme="minorHAnsi"/>
                <w:sz w:val="24"/>
                <w:szCs w:val="24"/>
                <w:lang w:val="lv-LV"/>
              </w:rPr>
            </w:pPr>
          </w:p>
        </w:tc>
      </w:tr>
      <w:tr w:rsidR="00B66862" w:rsidRPr="00B3052A" w:rsidTr="00B66862">
        <w:trPr>
          <w:trHeight w:val="510"/>
        </w:trPr>
        <w:tc>
          <w:tcPr>
            <w:tcW w:w="3162" w:type="dxa"/>
            <w:vAlign w:val="center"/>
          </w:tcPr>
          <w:p w:rsidR="00B66862" w:rsidRDefault="00B66862" w:rsidP="00B66862">
            <w:pPr>
              <w:rPr>
                <w:rFonts w:asciiTheme="minorHAnsi" w:eastAsia="Arial" w:hAnsiTheme="minorHAnsi" w:cstheme="minorHAnsi"/>
                <w:sz w:val="24"/>
                <w:szCs w:val="24"/>
                <w:lang w:val="lv-LV"/>
              </w:rPr>
            </w:pPr>
            <w:r>
              <w:rPr>
                <w:rFonts w:asciiTheme="minorHAnsi" w:eastAsia="Arial" w:hAnsiTheme="minorHAnsi" w:cstheme="minorHAnsi"/>
                <w:sz w:val="24"/>
                <w:szCs w:val="24"/>
                <w:lang w:val="lv-LV"/>
              </w:rPr>
              <w:t>Garantijas termiņš</w:t>
            </w:r>
          </w:p>
        </w:tc>
        <w:tc>
          <w:tcPr>
            <w:tcW w:w="3163" w:type="dxa"/>
            <w:vAlign w:val="center"/>
          </w:tcPr>
          <w:p w:rsidR="00B66862" w:rsidRDefault="00B66862" w:rsidP="00B66862">
            <w:pPr>
              <w:rPr>
                <w:rFonts w:asciiTheme="minorHAnsi" w:eastAsia="Arial" w:hAnsiTheme="minorHAnsi" w:cstheme="minorHAnsi"/>
                <w:sz w:val="24"/>
                <w:szCs w:val="24"/>
                <w:lang w:val="lv-LV"/>
              </w:rPr>
            </w:pPr>
            <w:r w:rsidRPr="00B07535">
              <w:rPr>
                <w:rFonts w:asciiTheme="minorHAnsi" w:eastAsia="Arial" w:hAnsiTheme="minorHAnsi" w:cstheme="minorHAnsi"/>
                <w:sz w:val="24"/>
                <w:szCs w:val="24"/>
                <w:lang w:val="lv-LV"/>
              </w:rPr>
              <w:t>Ne mazāk kā 24 mēneši</w:t>
            </w:r>
          </w:p>
        </w:tc>
        <w:tc>
          <w:tcPr>
            <w:tcW w:w="3163" w:type="dxa"/>
            <w:vAlign w:val="center"/>
          </w:tcPr>
          <w:p w:rsidR="00B66862" w:rsidRPr="00C903A9" w:rsidRDefault="00B66862" w:rsidP="00B66862">
            <w:pPr>
              <w:jc w:val="center"/>
              <w:rPr>
                <w:rFonts w:asciiTheme="minorHAnsi" w:eastAsia="Arial" w:hAnsiTheme="minorHAnsi" w:cstheme="minorHAnsi"/>
                <w:sz w:val="24"/>
                <w:szCs w:val="24"/>
                <w:lang w:val="lv-LV"/>
              </w:rPr>
            </w:pPr>
          </w:p>
        </w:tc>
      </w:tr>
    </w:tbl>
    <w:p w:rsidR="00D448FB" w:rsidRDefault="00D448FB" w:rsidP="005C2D9D">
      <w:pPr>
        <w:rPr>
          <w:rFonts w:asciiTheme="minorHAnsi" w:eastAsia="Arial" w:hAnsiTheme="minorHAnsi" w:cstheme="minorHAnsi"/>
          <w:lang w:val="lv-LV"/>
        </w:rPr>
      </w:pPr>
    </w:p>
    <w:p w:rsidR="003F4544" w:rsidRDefault="003F4544" w:rsidP="005C2D9D">
      <w:pPr>
        <w:rPr>
          <w:rFonts w:asciiTheme="minorHAnsi" w:eastAsia="Arial" w:hAnsiTheme="minorHAnsi" w:cstheme="minorHAnsi"/>
          <w:lang w:val="lv-LV"/>
        </w:rPr>
      </w:pPr>
    </w:p>
    <w:p w:rsidR="003F4544" w:rsidRDefault="003F4544" w:rsidP="005C2D9D">
      <w:pPr>
        <w:rPr>
          <w:rFonts w:asciiTheme="minorHAnsi" w:eastAsia="Arial" w:hAnsiTheme="minorHAnsi" w:cstheme="minorHAnsi"/>
          <w:lang w:val="lv-LV"/>
        </w:rPr>
      </w:pPr>
      <w:bookmarkStart w:id="3" w:name="_GoBack"/>
      <w:bookmarkEnd w:id="3"/>
    </w:p>
    <w:p w:rsidR="003F4544" w:rsidRDefault="003F4544" w:rsidP="005C2D9D">
      <w:pPr>
        <w:rPr>
          <w:rFonts w:asciiTheme="minorHAnsi" w:eastAsia="Arial" w:hAnsiTheme="minorHAnsi" w:cstheme="minorHAnsi"/>
          <w:lang w:val="lv-LV"/>
        </w:rPr>
      </w:pPr>
    </w:p>
    <w:p w:rsidR="003F4544" w:rsidRDefault="003F4544"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9624C4">
        <w:tc>
          <w:tcPr>
            <w:tcW w:w="5528" w:type="dxa"/>
          </w:tcPr>
          <w:p w:rsidR="003F4544" w:rsidRPr="00C81760" w:rsidRDefault="003F4544" w:rsidP="009624C4">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9624C4">
            <w:pPr>
              <w:snapToGrid w:val="0"/>
              <w:spacing w:before="120" w:after="120"/>
              <w:jc w:val="right"/>
              <w:rPr>
                <w:rFonts w:asciiTheme="minorHAnsi" w:hAnsiTheme="minorHAnsi" w:cstheme="minorHAnsi"/>
                <w:sz w:val="24"/>
                <w:szCs w:val="24"/>
                <w:lang w:val="lv-LV"/>
              </w:rPr>
            </w:pPr>
          </w:p>
        </w:tc>
      </w:tr>
      <w:tr w:rsidR="003F4544" w:rsidRPr="00C81760" w:rsidTr="009624C4">
        <w:tc>
          <w:tcPr>
            <w:tcW w:w="5528" w:type="dxa"/>
          </w:tcPr>
          <w:p w:rsidR="003F4544" w:rsidRPr="00C81760" w:rsidRDefault="003F4544" w:rsidP="009624C4">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9624C4">
            <w:pPr>
              <w:snapToGrid w:val="0"/>
              <w:spacing w:before="120" w:after="120"/>
              <w:jc w:val="right"/>
              <w:rPr>
                <w:rFonts w:asciiTheme="minorHAnsi" w:hAnsiTheme="minorHAnsi" w:cstheme="minorHAnsi"/>
                <w:sz w:val="24"/>
                <w:szCs w:val="24"/>
                <w:lang w:val="lv-LV"/>
              </w:rPr>
            </w:pPr>
          </w:p>
        </w:tc>
      </w:tr>
      <w:tr w:rsidR="003F4544" w:rsidRPr="00C81760" w:rsidTr="009624C4">
        <w:tc>
          <w:tcPr>
            <w:tcW w:w="5528" w:type="dxa"/>
          </w:tcPr>
          <w:p w:rsidR="003F4544" w:rsidRPr="00C81760" w:rsidRDefault="003F4544" w:rsidP="009624C4">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9624C4">
            <w:pPr>
              <w:snapToGrid w:val="0"/>
              <w:spacing w:before="120" w:after="120"/>
              <w:jc w:val="both"/>
              <w:rPr>
                <w:rFonts w:asciiTheme="minorHAnsi" w:hAnsiTheme="minorHAnsi" w:cstheme="minorHAnsi"/>
                <w:sz w:val="24"/>
                <w:szCs w:val="24"/>
                <w:lang w:val="lv-LV"/>
              </w:rPr>
            </w:pPr>
          </w:p>
        </w:tc>
      </w:tr>
      <w:tr w:rsidR="003F4544" w:rsidRPr="00C81760" w:rsidTr="009624C4">
        <w:trPr>
          <w:trHeight w:val="207"/>
        </w:trPr>
        <w:tc>
          <w:tcPr>
            <w:tcW w:w="5528" w:type="dxa"/>
          </w:tcPr>
          <w:p w:rsidR="003F4544" w:rsidRPr="00C81760" w:rsidRDefault="003F4544" w:rsidP="009624C4">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9624C4">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3"/>
      <w:footerReference w:type="default" r:id="rId14"/>
      <w:footerReference w:type="first" r:id="rId15"/>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F17" w:rsidRDefault="00AC6F17" w:rsidP="00F446C0">
      <w:r>
        <w:separator/>
      </w:r>
    </w:p>
  </w:endnote>
  <w:endnote w:type="continuationSeparator" w:id="0">
    <w:p w:rsidR="00AC6F17" w:rsidRDefault="00AC6F17"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146" w:rsidRPr="005772D9" w:rsidRDefault="00CF2146">
    <w:pPr>
      <w:pStyle w:val="Kjene"/>
      <w:jc w:val="right"/>
    </w:pPr>
  </w:p>
  <w:p w:rsidR="00CF2146" w:rsidRPr="005772D9" w:rsidRDefault="00CF214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146" w:rsidRDefault="00CF2146">
    <w:pPr>
      <w:pStyle w:val="Kjene"/>
      <w:jc w:val="center"/>
    </w:pPr>
  </w:p>
  <w:p w:rsidR="00CF2146" w:rsidRDefault="00CF21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F17" w:rsidRDefault="00AC6F17" w:rsidP="00F446C0">
      <w:r>
        <w:separator/>
      </w:r>
    </w:p>
  </w:footnote>
  <w:footnote w:type="continuationSeparator" w:id="0">
    <w:p w:rsidR="00AC6F17" w:rsidRDefault="00AC6F17" w:rsidP="00F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146" w:rsidRPr="00721AF7" w:rsidRDefault="00CF2146">
    <w:pPr>
      <w:pStyle w:val="Galvene"/>
      <w:jc w:val="center"/>
      <w:rPr>
        <w:rFonts w:asciiTheme="minorHAnsi" w:hAnsiTheme="minorHAnsi" w:cstheme="minorHAnsi"/>
      </w:rPr>
    </w:pPr>
  </w:p>
  <w:p w:rsidR="00CF2146" w:rsidRDefault="00CF214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91C"/>
    <w:rsid w:val="002C200F"/>
    <w:rsid w:val="002C4874"/>
    <w:rsid w:val="002D0BDA"/>
    <w:rsid w:val="002E3C0F"/>
    <w:rsid w:val="002E4184"/>
    <w:rsid w:val="002F1D1D"/>
    <w:rsid w:val="002F3C6E"/>
    <w:rsid w:val="002F7C40"/>
    <w:rsid w:val="0030270A"/>
    <w:rsid w:val="00303D23"/>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B19F2"/>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4305"/>
    <w:rsid w:val="00B47774"/>
    <w:rsid w:val="00B52DD5"/>
    <w:rsid w:val="00B532F8"/>
    <w:rsid w:val="00B57981"/>
    <w:rsid w:val="00B66862"/>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A20B9"/>
    <w:rsid w:val="00CA7B1B"/>
    <w:rsid w:val="00CB03B6"/>
    <w:rsid w:val="00CB4FC9"/>
    <w:rsid w:val="00CB6F20"/>
    <w:rsid w:val="00CC5687"/>
    <w:rsid w:val="00CD04D2"/>
    <w:rsid w:val="00CD1B44"/>
    <w:rsid w:val="00CD2844"/>
    <w:rsid w:val="00CD6AFB"/>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6C2"/>
    <w:rsid w:val="00FD2D99"/>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6DF9E"/>
  <w15:docId w15:val="{D2773592-7DF7-45B2-9892-D00C203D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styleId="Neatrisintapieminana">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slisere@nic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pasvaldiba/iepirkumi/cenu-izpe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7611-A985-4E63-A9DB-0E0E8838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9</Pages>
  <Words>7821</Words>
  <Characters>4458</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12255</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37</cp:revision>
  <cp:lastPrinted>2020-02-19T12:59:00Z</cp:lastPrinted>
  <dcterms:created xsi:type="dcterms:W3CDTF">2019-08-29T07:21:00Z</dcterms:created>
  <dcterms:modified xsi:type="dcterms:W3CDTF">2020-02-20T08:10:00Z</dcterms:modified>
</cp:coreProperties>
</file>